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901" w:rsidRDefault="00E15901" w:rsidP="00E15901">
      <w:pPr>
        <w:pBdr>
          <w:top w:val="nil"/>
          <w:left w:val="nil"/>
          <w:bottom w:val="single" w:sz="6" w:space="1" w:color="00000A"/>
          <w:right w:val="nil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</w:p>
    <w:p w:rsidR="00E15901" w:rsidRDefault="00E15901" w:rsidP="00E15901">
      <w:pPr>
        <w:pBdr>
          <w:top w:val="nil"/>
          <w:left w:val="nil"/>
          <w:bottom w:val="single" w:sz="6" w:space="1" w:color="00000A"/>
          <w:right w:val="nil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Materiał wiążący i penetracyjny do wykonania </w:t>
      </w:r>
    </w:p>
    <w:p w:rsidR="00E15901" w:rsidRDefault="00E15901" w:rsidP="00E15901">
      <w:pPr>
        <w:pBdr>
          <w:top w:val="nil"/>
          <w:left w:val="nil"/>
          <w:bottom w:val="single" w:sz="6" w:space="1" w:color="00000A"/>
          <w:right w:val="nil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kamiennych dywanów R - Stone 102.</w:t>
      </w:r>
    </w:p>
    <w:p w:rsidR="00E15901" w:rsidRPr="00E15901" w:rsidRDefault="00E15901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Ind w:w="-5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4994"/>
        <w:gridCol w:w="764"/>
        <w:gridCol w:w="222"/>
        <w:gridCol w:w="3880"/>
      </w:tblGrid>
      <w:tr w:rsidR="006230CC" w:rsidTr="007B7D87">
        <w:tc>
          <w:tcPr>
            <w:tcW w:w="5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1FDF" w:rsidRDefault="00901FDF">
            <w:r w:rsidRPr="00901FDF">
              <w:rPr>
                <w:noProof/>
                <w:lang w:eastAsia="pl-PL"/>
              </w:rPr>
              <w:drawing>
                <wp:inline distT="0" distB="0" distL="0" distR="0">
                  <wp:extent cx="2626995" cy="1970247"/>
                  <wp:effectExtent l="0" t="0" r="1905" b="0"/>
                  <wp:docPr id="5" name="Picture 5" descr="C:\Users\HP\Desktop\schody szydłowi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schody szydłowi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73" cy="198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</w:p>
          <w:p w:rsidR="00901FDF" w:rsidRDefault="00901FD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Charakterystyka:</w:t>
            </w:r>
          </w:p>
          <w:p w:rsidR="00901FDF" w:rsidRDefault="00E159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 - Stone 102 </w:t>
            </w:r>
            <w:r w:rsidR="00A31F46">
              <w:rPr>
                <w:rFonts w:ascii="Arial" w:hAnsi="Arial" w:cs="Arial"/>
                <w:sz w:val="18"/>
                <w:szCs w:val="18"/>
              </w:rPr>
              <w:t xml:space="preserve"> jest </w:t>
            </w:r>
            <w:r w:rsidR="00901FDF">
              <w:rPr>
                <w:rFonts w:ascii="Arial" w:hAnsi="Arial" w:cs="Arial"/>
                <w:sz w:val="18"/>
                <w:szCs w:val="18"/>
              </w:rPr>
              <w:t xml:space="preserve"> dwuskładnikowym bezrozpuszczalnikowym materiałem o niskiej lepkości na bazie EP</w:t>
            </w:r>
            <w:r w:rsidR="00A31F46">
              <w:rPr>
                <w:rFonts w:ascii="Arial" w:hAnsi="Arial" w:cs="Arial"/>
                <w:sz w:val="18"/>
                <w:szCs w:val="18"/>
              </w:rPr>
              <w:t xml:space="preserve"> epoksydów</w:t>
            </w:r>
            <w:r w:rsidR="00901FDF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</w:p>
          <w:p w:rsidR="00901FDF" w:rsidRDefault="00901FD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Zakres zastosowania: </w:t>
            </w:r>
          </w:p>
          <w:p w:rsidR="00901FDF" w:rsidRDefault="00E159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 - Stone 102  </w:t>
            </w:r>
            <w:r w:rsidR="00901FDF">
              <w:rPr>
                <w:rFonts w:ascii="Arial" w:hAnsi="Arial" w:cs="Arial"/>
                <w:sz w:val="18"/>
                <w:szCs w:val="18"/>
              </w:rPr>
              <w:t xml:space="preserve"> przeznaczona jest do: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penetracji suchych i wilgotnych betonów i innych rodzajów podłoży mineralnych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mieszanin zawierających specjalne piaski i kamienie naturalne, itp.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</w:p>
          <w:p w:rsidR="00901FDF" w:rsidRDefault="00901FD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Dane dotyczące urabialności:</w:t>
            </w:r>
          </w:p>
          <w:p w:rsidR="00901FDF" w:rsidRDefault="00E1590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 - Stone 102  </w:t>
            </w:r>
            <w:r w:rsidR="00901FDF">
              <w:rPr>
                <w:rFonts w:ascii="Arial" w:hAnsi="Arial" w:cs="Arial"/>
                <w:sz w:val="18"/>
                <w:szCs w:val="18"/>
              </w:rPr>
              <w:t xml:space="preserve">nie może być przetwarzana w temperaturach poniżej +5°C ani w temperaturach powyżej +30°C - zalecana minimalna temperatura + 10°C. Żywica nie może być przetwarzana przy wyższej wilgotności powietrza. </w:t>
            </w:r>
            <w:r>
              <w:rPr>
                <w:rFonts w:ascii="Arial" w:hAnsi="Arial" w:cs="Arial"/>
                <w:sz w:val="18"/>
                <w:szCs w:val="18"/>
              </w:rPr>
              <w:t>Zalecana temperatura nakładania d</w:t>
            </w:r>
            <w:r w:rsidR="00901FDF">
              <w:rPr>
                <w:rFonts w:ascii="Arial" w:hAnsi="Arial" w:cs="Arial"/>
                <w:sz w:val="18"/>
                <w:szCs w:val="18"/>
              </w:rPr>
              <w:t>o + 20°C. W trakcie nakładania i procesu utwardzania żywica  nie może mieć kontaktu z wodą ani innymi chemikaliami. Temperatura nie może być niższa niż +3°C powyżej punktu rosy. Warunki te powinny być utrzymane przez cały czas trwania przetwarzania materiału, a także przez okres utwardzania – polimeryzacji.</w:t>
            </w:r>
          </w:p>
          <w:p w:rsidR="00901FDF" w:rsidRDefault="00901FDF"/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Inne zalecenia techniczne i zasady dotyczące zastosowania podane są w Karcie Charakterystyki Produktu.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</w:p>
          <w:p w:rsidR="00901FDF" w:rsidRDefault="00901FD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Przygotowanie podłoża: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Podłoże musi być wolne od kurzu, tłuszczu i innych zanieczyszczeń, które mogą działać jako środki uwalniające oraz n</w:t>
            </w:r>
            <w:r w:rsidR="00A31F46">
              <w:rPr>
                <w:rFonts w:ascii="Arial" w:hAnsi="Arial" w:cs="Arial"/>
                <w:sz w:val="18"/>
                <w:szCs w:val="18"/>
              </w:rPr>
              <w:t>ie może być mokra</w:t>
            </w:r>
            <w:r>
              <w:rPr>
                <w:rFonts w:ascii="Arial" w:hAnsi="Arial" w:cs="Arial"/>
                <w:sz w:val="18"/>
                <w:szCs w:val="18"/>
              </w:rPr>
              <w:t xml:space="preserve">. Podłoże musi zostać uszorstnione, np. przez szlifowanie, frezowanie, piaskowanie oraz musi posiadać doskonale oczyszczoną powierzchnię pod ciśnieniem. Powierzchnia musi być czysta na litym betonie z kamieniami. W podłożu nie może być wody napędzającej. 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Siła odrywania warstwy powierzchniowej podłoża musi być większa niż 1,5 N / mm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6230CC">
              <w:rPr>
                <w:rFonts w:ascii="Arial" w:hAnsi="Arial" w:cs="Arial"/>
                <w:sz w:val="18"/>
                <w:szCs w:val="18"/>
              </w:rPr>
              <w:t>! Przygotowana mieszanina nie może być przechowywana w dużych ilościach oraz nie może być ponownie mieszana 5-10 minut po zmieszaniu - ze względu na niebezpieczeństwo samoistnej ostrej reakcji egzotermicznej!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901FDF" w:rsidRDefault="00901F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1FDF" w:rsidRDefault="00901FD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Przetwarzanie: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Spoiwo A I B łączone jest w odpowiednich proporcjach. Aby nałożyć materiał należy wymieszać ze sobą oba składniki przy zastosowaniu sugerowanego stosunku mieszania za pomocą mieszadła o niskich obrotach (300- 400 obr./min.) przez 3 minuty. W trakcie mieszania, ważne jest by powietrze nie zostało bez potrzeby zmieszane z materiałem. Zalecamy, by po pierwszym wymieszaniu, materiał został przełożony do nowego pojemnika oraz by powtórzyć mieszanie. 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Materiał przygotowany w sposób opisany powyżej musi być przetworzony w czasie jego żywotności oraz przy wykorzystaniu odpowiedniej technologii.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</w:p>
          <w:p w:rsidR="00901FDF" w:rsidRDefault="00901FD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Wykonanie warstwy penetracyjnej: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Należy nałożyć żywice na przygotowaną powierzchnię przy wykorzystaniu odpowiedniej technologii: gładka łopatka stalowa, wałek aksamitny, itp.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Aby zwiększyć przyczepność kolejnej warstwy można posypać świeżą powierzchnię  suchym i czystym piaskiem kwarcowym (wielkość ziarna 0,3-0,5 mm) - zużycie ok. 0,5-1 kg/m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901FDF" w:rsidRDefault="00901FDF"/>
          <w:p w:rsidR="00901FDF" w:rsidRDefault="00901FD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Wykonanie kamiennego dywanu: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Należy wymieszać przygotowaną mieszaninę spoiwa A I B wymieszać ze specjalnymi kamieniami w odpowiednich proporcjach. Następnie należy nałożyć mieszankę równomiernie na powierzchnię przy wykorzystaniu odpowiedniej technologii. Wygładzić pow</w:t>
            </w:r>
            <w:r w:rsidR="00A31F46">
              <w:rPr>
                <w:rFonts w:ascii="Arial" w:hAnsi="Arial" w:cs="Arial"/>
                <w:sz w:val="18"/>
                <w:szCs w:val="18"/>
              </w:rPr>
              <w:t>ierzchnię gładką stalową packą</w:t>
            </w:r>
            <w:r>
              <w:rPr>
                <w:rFonts w:ascii="Arial" w:hAnsi="Arial" w:cs="Arial"/>
                <w:sz w:val="18"/>
                <w:szCs w:val="18"/>
              </w:rPr>
              <w:t xml:space="preserve"> - gładziarka. W razie nakładania na powierzchnie pi</w:t>
            </w:r>
            <w:r w:rsidR="00A31F46">
              <w:rPr>
                <w:rFonts w:ascii="Arial" w:hAnsi="Arial" w:cs="Arial"/>
                <w:sz w:val="18"/>
                <w:szCs w:val="18"/>
              </w:rPr>
              <w:t>onowe, należy wykonać szalunek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01FDF" w:rsidRDefault="00901FDF">
            <w:pPr>
              <w:rPr>
                <w:rFonts w:ascii="Arial" w:hAnsi="Arial" w:cs="Arial"/>
                <w:sz w:val="18"/>
                <w:szCs w:val="18"/>
              </w:rPr>
            </w:pPr>
          </w:p>
          <w:p w:rsidR="00901FDF" w:rsidRPr="00E15901" w:rsidRDefault="000B254C">
            <w:r w:rsidRPr="000B254C">
              <w:rPr>
                <w:noProof/>
                <w:lang w:eastAsia="pl-PL"/>
              </w:rPr>
              <w:drawing>
                <wp:inline distT="0" distB="0" distL="0" distR="0">
                  <wp:extent cx="2326640" cy="1744980"/>
                  <wp:effectExtent l="0" t="0" r="0" b="7620"/>
                  <wp:docPr id="9" name="Picture 9" descr="C:\Users\HP\Desktop\IMG_2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IMG_2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63" cy="175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D87" w:rsidTr="007B7D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2015"/>
        </w:trPr>
        <w:tc>
          <w:tcPr>
            <w:tcW w:w="4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7D87" w:rsidRDefault="007B7D87" w:rsidP="00546E9A">
            <w:pPr>
              <w:rPr>
                <w:rFonts w:ascii="Arial" w:hAnsi="Arial" w:cs="Arial"/>
                <w:color w:val="00000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Po zakończeniu pracy usunąć resztki nieutwardzonej masy z narzędzi przy użyciu środków czyszczących na bazie acetonu. Utwardzoną masę można usunąć mechanicznie.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Zasady dotyczące przygotowania podłoża i nałożenia na świeży beton oraz na powierzchnie o zwiększonej wilgotności: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podłoż</w:t>
            </w:r>
            <w:r w:rsidR="00A31F46">
              <w:rPr>
                <w:rFonts w:ascii="Arial" w:hAnsi="Arial" w:cs="Arial"/>
                <w:sz w:val="18"/>
                <w:szCs w:val="18"/>
              </w:rPr>
              <w:t>u nie może być wody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Powierzchnia nie może zawierać składników rozpuszczalnych w wodzie. Na przykład: sole, rozpuszczalniki, itp.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Pierwsza tzw. powłoka penetracyjna musi zostać nałożona bardzo szybko, zaraz po oczyszczeniu powierzchni, aby wyeliminować zanieczyszczenia powierzchni, a powierzchnia musi być wolna od wody na głębokość 1 cm.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Warstwa penetracyjna musi doskonale zamykać powierzchnię nawet w przypadku nałożenia podwójnej penetracji. 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trakcie nakładania  na nowe podłoże betonowe, należy odczekać ok. 5- 10 dni od czasu betonowania. Czas odczekania zależy od temperatury i wilgotności. Obowiązują wszystkie zalecenia zawarte w instrukcji dot. przetwarzania.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Druga i każda kolejna warstwa musi zostać nałożona na poprzednią suchą warstwę.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/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Przykłady dla Państwa: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Powłoka penetracyjna: zużycie ok. 0,6 kg /m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zależy od jakości podłoża. 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Podane wartości zużycia mogą różnić się w zależności od indywidualnych warunków i od specjalnej technologii nakładania. 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Przechowywanie: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Czas przechowywania, jeśli materiały przechowywane są w oryginalnych opakowaniach, w suchym miejscu, nie są narażone na bezpośrednie działanie promieni słonecznych, w temperaturze od +12°C do +25°C, wynosi 5 miesięcy.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Dane techniczne:</w:t>
            </w:r>
          </w:p>
          <w:p w:rsidR="007B7D87" w:rsidRDefault="007B7D87" w:rsidP="00546E9A"/>
          <w:tbl>
            <w:tblPr>
              <w:tblW w:w="0" w:type="auto"/>
              <w:tblBorders>
                <w:insideH w:val="nil"/>
                <w:insideV w:val="nil"/>
              </w:tblBorders>
              <w:tblLook w:val="04A0"/>
            </w:tblPr>
            <w:tblGrid>
              <w:gridCol w:w="3208"/>
              <w:gridCol w:w="1570"/>
            </w:tblGrid>
            <w:tr w:rsidR="007B7D87" w:rsidTr="00546E9A">
              <w:trPr>
                <w:cantSplit/>
              </w:trPr>
              <w:tc>
                <w:tcPr>
                  <w:tcW w:w="32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D87" w:rsidRDefault="007B7D87" w:rsidP="00546E9A">
                  <w:pPr>
                    <w:rPr>
                      <w:rFonts w:ascii="Arial" w:hAnsi="Arial" w:cs="Arial"/>
                      <w:color w:val="00000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Ciężar właściwy w temperaturze 20°C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Lepkość przy 25 ° C, część A + B Stabilność termiczna HDT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7B7D87" w:rsidRDefault="007B7D87" w:rsidP="00546E9A">
                  <w:pPr>
                    <w:rPr>
                      <w:rFonts w:ascii="Arial" w:hAnsi="Arial" w:cs="Arial"/>
                      <w:color w:val="00000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Powierzchnia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D87" w:rsidRDefault="007B7D87" w:rsidP="00546E9A">
                  <w:pPr>
                    <w:jc w:val="right"/>
                    <w:rPr>
                      <w:rFonts w:ascii="Arial" w:hAnsi="Arial" w:cs="Arial"/>
                      <w:color w:val="00000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1,11 kg/l</w:t>
                  </w:r>
                </w:p>
                <w:p w:rsidR="007B7D87" w:rsidRDefault="007B7D87" w:rsidP="00546E9A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900 mPa.s±300</w:t>
                  </w:r>
                </w:p>
                <w:p w:rsidR="007B7D87" w:rsidRDefault="007B7D87" w:rsidP="00546E9A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40°C</w:t>
                  </w:r>
                </w:p>
                <w:p w:rsidR="007B7D87" w:rsidRDefault="007B7D87" w:rsidP="00546E9A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7B7D87" w:rsidRDefault="007B7D87" w:rsidP="00546E9A">
                  <w:pPr>
                    <w:jc w:val="right"/>
                    <w:rPr>
                      <w:rFonts w:ascii="Arial" w:hAnsi="Arial" w:cs="Arial"/>
                      <w:color w:val="00000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gładka i lśniąca</w:t>
                  </w:r>
                </w:p>
              </w:tc>
            </w:tr>
            <w:tr w:rsidR="007B7D87" w:rsidTr="00546E9A">
              <w:trPr>
                <w:cantSplit/>
                <w:trHeight w:val="505"/>
              </w:trPr>
              <w:tc>
                <w:tcPr>
                  <w:tcW w:w="48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7B7D87" w:rsidRDefault="007B7D87" w:rsidP="00546E9A">
                  <w:pPr>
                    <w:rPr>
                      <w:rFonts w:ascii="Arial" w:hAnsi="Arial" w:cs="Arial"/>
                      <w:color w:val="00000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Stosunek mieszania A:B  wagowo 2,1 : 1 lub należy zapoznać się z etykietą na pojemniku</w:t>
                  </w:r>
                </w:p>
              </w:tc>
            </w:tr>
          </w:tbl>
          <w:p w:rsidR="007B7D87" w:rsidRDefault="007B7D87" w:rsidP="00546E9A">
            <w:pPr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4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0" w:type="auto"/>
              <w:tblBorders>
                <w:insideH w:val="nil"/>
                <w:insideV w:val="nil"/>
              </w:tblBorders>
              <w:tblLook w:val="04A0"/>
            </w:tblPr>
            <w:tblGrid>
              <w:gridCol w:w="3245"/>
              <w:gridCol w:w="1405"/>
            </w:tblGrid>
            <w:tr w:rsidR="007B7D87" w:rsidTr="00546E9A">
              <w:trPr>
                <w:cantSplit/>
              </w:trPr>
              <w:tc>
                <w:tcPr>
                  <w:tcW w:w="71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7B7D87" w:rsidRDefault="007B7D87" w:rsidP="00546E9A">
                  <w:pPr>
                    <w:rPr>
                      <w:rFonts w:ascii="Arial" w:hAnsi="Arial" w:cs="Arial"/>
                      <w:color w:val="00000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Wysychanie w temperaturze 20°C     40min                    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Wstępne użytkowanie                        38-48 godzin    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Pełne utwardzanie                            10 dni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Wytrzymałość na rozciąganie             65 N/mm2  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Wytrzymałość na ścisk                       60 N/mm2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Wytrzymałość na zginanie                 2900 N/mm2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Moduł E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color w:val="00000A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Przyczepność do betonu         wyższa niż spójność betonu</w:t>
                  </w:r>
                </w:p>
              </w:tc>
              <w:tc>
                <w:tcPr>
                  <w:tcW w:w="27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D87" w:rsidRDefault="007B7D87" w:rsidP="00546E9A">
                  <w:pPr>
                    <w:rPr>
                      <w:rFonts w:ascii="Arial" w:hAnsi="Arial" w:cs="Arial"/>
                      <w:color w:val="00000A"/>
                      <w:sz w:val="18"/>
                      <w:szCs w:val="18"/>
                    </w:rPr>
                  </w:pP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36-48 godz.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4-5 dni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10 dni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65 N/mm</w:t>
                  </w:r>
                  <w:r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2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39 N/mm</w:t>
                  </w:r>
                  <w:r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2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60 N/mm</w:t>
                  </w:r>
                  <w:r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2</w:t>
                  </w:r>
                </w:p>
                <w:p w:rsidR="007B7D87" w:rsidRDefault="007B7D87" w:rsidP="00546E9A">
                  <w:pPr>
                    <w:rPr>
                      <w:rFonts w:ascii="Arial" w:hAnsi="Arial" w:cs="Arial"/>
                      <w:color w:val="00000A"/>
                      <w:sz w:val="18"/>
                      <w:szCs w:val="18"/>
                      <w:vertAlign w:val="superscript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2900 N/mm</w:t>
                  </w:r>
                  <w:r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7B7D87" w:rsidTr="00546E9A">
              <w:trPr>
                <w:cantSplit/>
              </w:trPr>
              <w:tc>
                <w:tcPr>
                  <w:tcW w:w="9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7B7D87" w:rsidRDefault="007B7D87" w:rsidP="00546E9A">
                  <w:pPr>
                    <w:rPr>
                      <w:color w:val="00000A"/>
                    </w:rPr>
                  </w:pPr>
                </w:p>
              </w:tc>
            </w:tr>
          </w:tbl>
          <w:p w:rsidR="007B7D87" w:rsidRDefault="007B7D87" w:rsidP="00546E9A">
            <w:pPr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Produkt nie może być modyfikowany ani stosowany</w:t>
            </w:r>
          </w:p>
          <w:p w:rsidR="007B7D87" w:rsidRDefault="007B7D87" w:rsidP="00546E9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w sprzeczności z treścią niniejszej instrukcji dot. przetwarzania.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Informacje dotyczące bezpieczeństwa: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Skład chemiczny: mieszanina żywicy epoksydowej, dodatki ze specjalnie opracowanym systemem utwardzania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Składnik A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ciecz łatwopalna klasy IV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szkodliwy dla zdrowia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podrażniający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niebezpieczny dla środowiska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Składnik B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ciecz łatwopalna klasy III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szkodliwy dla zdrowia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podrażniający z działaniem żrącym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niebezpieczny dla środowiska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Klasyfikacja transportu:               A ADR 9               B 8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Pozostałe informacje podane są w Karcie Charakterystyki Produktu, która stanowi integralną cześć instrukcji dot. przetwarzania. Przed rozpoczęciem pracy konieczne jest zapoznanie się z całą Kartą Charakterystyki Produktu.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razie jakichkolwiek pytań prosimy o kontakt.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512 833 400</w:t>
            </w:r>
          </w:p>
          <w:p w:rsidR="007B7D87" w:rsidRDefault="007B7D87" w:rsidP="00546E9A">
            <w:pPr>
              <w:rPr>
                <w:rFonts w:ascii="Arial" w:hAnsi="Arial" w:cs="Arial"/>
                <w:sz w:val="18"/>
                <w:szCs w:val="18"/>
              </w:rPr>
            </w:pPr>
          </w:p>
          <w:p w:rsidR="007B7D87" w:rsidRDefault="007B7D87" w:rsidP="00546E9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Znak CE – Zgodnie z wymaganiami ČSN EN 13813 SR-B</w:t>
            </w:r>
            <w:r>
              <w:rPr>
                <w:rFonts w:ascii="Arial" w:hAnsi="Arial" w:cs="Arial"/>
                <w:sz w:val="14"/>
                <w:szCs w:val="14"/>
                <w:vertAlign w:val="subscript"/>
              </w:rPr>
              <w:t>n</w:t>
            </w:r>
            <w:r>
              <w:rPr>
                <w:rFonts w:ascii="Arial" w:hAnsi="Arial" w:cs="Arial"/>
                <w:sz w:val="14"/>
                <w:szCs w:val="14"/>
              </w:rPr>
              <w:t>-S1, AR 0,5,B 1,5. Powyższy produkt zaliczany jest do produktów podanych w ČSN EN 13813 „Podkłady podłogowe oraz materiały do ich wykonania”. Produkt musi być oznaczony znakiem CE zgodnie z załączoną Tabelą ZA 1,5 i 2 oraz musi spełniać ustalone wymagania.</w:t>
            </w:r>
          </w:p>
          <w:p w:rsidR="007B7D87" w:rsidRDefault="007B7D87" w:rsidP="00546E9A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left w:w="93" w:type="dxa"/>
              </w:tblCellMar>
              <w:tblLook w:val="04A0"/>
            </w:tblPr>
            <w:tblGrid>
              <w:gridCol w:w="4640"/>
            </w:tblGrid>
            <w:tr w:rsidR="007B7D87" w:rsidTr="00546E9A">
              <w:trPr>
                <w:cantSplit/>
                <w:trHeight w:val="2752"/>
              </w:trPr>
              <w:tc>
                <w:tcPr>
                  <w:tcW w:w="481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7B7D87" w:rsidRDefault="007B7D87" w:rsidP="00546E9A">
                  <w:pPr>
                    <w:shd w:val="clear" w:color="auto" w:fill="FFFFFF"/>
                    <w:rPr>
                      <w:color w:val="00000A"/>
                    </w:rPr>
                  </w:pPr>
                </w:p>
                <w:tbl>
                  <w:tblPr>
                    <w:tblW w:w="0" w:type="auto"/>
                    <w:tblBorders>
                      <w:insideH w:val="nil"/>
                      <w:insideV w:val="nil"/>
                    </w:tblBorders>
                    <w:tblLook w:val="04A0"/>
                  </w:tblPr>
                  <w:tblGrid>
                    <w:gridCol w:w="2512"/>
                    <w:gridCol w:w="1927"/>
                  </w:tblGrid>
                  <w:tr w:rsidR="007B7D87" w:rsidTr="00546E9A">
                    <w:trPr>
                      <w:cantSplit/>
                    </w:trPr>
                    <w:tc>
                      <w:tcPr>
                        <w:tcW w:w="458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hideMark/>
                      </w:tcPr>
                      <w:p w:rsidR="007B7D87" w:rsidRDefault="007B7D87" w:rsidP="00546E9A">
                        <w:pPr>
                          <w:shd w:val="clear" w:color="auto" w:fill="FFFFFF"/>
                          <w:jc w:val="center"/>
                          <w:rPr>
                            <w:rFonts w:ascii="Arial" w:hAnsi="Arial" w:cs="Arial"/>
                            <w:color w:val="00000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R-STONE 26-640 Skaryszew ,ul.Cicha 15 </w:t>
                        </w:r>
                      </w:p>
                    </w:tc>
                  </w:tr>
                  <w:tr w:rsidR="007B7D87" w:rsidTr="00546E9A">
                    <w:trPr>
                      <w:cantSplit/>
                    </w:trPr>
                    <w:tc>
                      <w:tcPr>
                        <w:tcW w:w="458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hideMark/>
                      </w:tcPr>
                      <w:p w:rsidR="007B7D87" w:rsidRDefault="007B7D87" w:rsidP="00546E9A">
                        <w:pPr>
                          <w:shd w:val="clear" w:color="auto" w:fill="FFFFFF"/>
                          <w:jc w:val="center"/>
                          <w:rPr>
                            <w:rFonts w:ascii="Arial" w:hAnsi="Arial" w:cs="Arial"/>
                            <w:color w:val="00000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08</w:t>
                        </w:r>
                      </w:p>
                    </w:tc>
                  </w:tr>
                  <w:tr w:rsidR="007B7D87" w:rsidRPr="00A31F46" w:rsidTr="00546E9A">
                    <w:trPr>
                      <w:cantSplit/>
                    </w:trPr>
                    <w:tc>
                      <w:tcPr>
                        <w:tcW w:w="458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hideMark/>
                      </w:tcPr>
                      <w:p w:rsidR="007B7D87" w:rsidRDefault="007B7D87" w:rsidP="00546E9A">
                        <w:pPr>
                          <w:shd w:val="clear" w:color="auto" w:fill="FFFFFF"/>
                          <w:jc w:val="center"/>
                          <w:rPr>
                            <w:rFonts w:ascii="Arial" w:hAnsi="Arial" w:cs="Arial"/>
                            <w:color w:val="00000A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>EN 13813 SR-B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  <w:vertAlign w:val="subscript"/>
                            <w:lang w:val="en-US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  <w:lang w:val="en-US"/>
                          </w:rPr>
                          <w:t>-S1, AR 0,5,B 1,5</w:t>
                        </w:r>
                      </w:p>
                    </w:tc>
                  </w:tr>
                  <w:tr w:rsidR="007B7D87" w:rsidTr="00546E9A">
                    <w:trPr>
                      <w:cantSplit/>
                    </w:trPr>
                    <w:tc>
                      <w:tcPr>
                        <w:tcW w:w="458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hideMark/>
                      </w:tcPr>
                      <w:p w:rsidR="007B7D87" w:rsidRDefault="007B7D87" w:rsidP="00546E9A">
                        <w:pPr>
                          <w:shd w:val="clear" w:color="auto" w:fill="FFFFFF"/>
                          <w:jc w:val="center"/>
                          <w:rPr>
                            <w:rFonts w:ascii="Arial" w:hAnsi="Arial" w:cs="Arial"/>
                            <w:color w:val="00000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Żywiczne podkłady podłogowe (patrz Karta Charakterystyki)</w:t>
                        </w:r>
                      </w:p>
                    </w:tc>
                  </w:tr>
                  <w:tr w:rsidR="007B7D87" w:rsidTr="00546E9A">
                    <w:trPr>
                      <w:cantSplit/>
                      <w:trHeight w:val="332"/>
                    </w:trPr>
                    <w:tc>
                      <w:tcPr>
                        <w:tcW w:w="2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hideMark/>
                      </w:tcPr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color w:val="00000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Reakcja na ogień: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Żywiczne podkłady podłogowe: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Wodoszczelność: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Odporność na ścieranie: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Przyczepność: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Siła docisku: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Dźwiękoszczelność: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Pochłanianie dźwięku: 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Odporność termiczna: 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color w:val="00000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Odporność na działanie chemikaliów: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hideMark/>
                      </w:tcPr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color w:val="00000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  <w:vertAlign w:val="subscript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-S1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SR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Nie określono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AR 0,5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B 1,5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&gt; IR4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Nie określono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Nie określono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Nie określono</w:t>
                        </w:r>
                      </w:p>
                      <w:p w:rsidR="007B7D87" w:rsidRDefault="007B7D87" w:rsidP="00546E9A">
                        <w:pPr>
                          <w:shd w:val="clear" w:color="auto" w:fill="FFFFFF"/>
                          <w:rPr>
                            <w:rFonts w:ascii="Arial" w:hAnsi="Arial" w:cs="Arial"/>
                            <w:color w:val="00000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Nie określono</w:t>
                        </w:r>
                      </w:p>
                    </w:tc>
                  </w:tr>
                </w:tbl>
                <w:p w:rsidR="007B7D87" w:rsidRDefault="007B7D87" w:rsidP="00546E9A">
                  <w:pPr>
                    <w:shd w:val="clear" w:color="auto" w:fill="FFFFFF"/>
                    <w:rPr>
                      <w:rFonts w:ascii="Arial" w:hAnsi="Arial" w:cs="Arial"/>
                      <w:color w:val="00000A"/>
                      <w:sz w:val="14"/>
                      <w:szCs w:val="14"/>
                    </w:rPr>
                  </w:pPr>
                </w:p>
              </w:tc>
            </w:tr>
          </w:tbl>
          <w:p w:rsidR="007B7D87" w:rsidRDefault="007B7D87" w:rsidP="00546E9A">
            <w:pPr>
              <w:rPr>
                <w:rFonts w:ascii="Arial" w:hAnsi="Arial" w:cs="Arial"/>
                <w:color w:val="00000A"/>
                <w:sz w:val="14"/>
                <w:szCs w:val="14"/>
              </w:rPr>
            </w:pPr>
          </w:p>
        </w:tc>
      </w:tr>
      <w:tr w:rsidR="007B7D87" w:rsidTr="007B7D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2015"/>
        </w:trPr>
        <w:tc>
          <w:tcPr>
            <w:tcW w:w="4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D393B" w:rsidRDefault="003D393B" w:rsidP="003D39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9D1">
              <w:rPr>
                <w:rFonts w:ascii="Times New Roman" w:hAnsi="Times New Roman"/>
                <w:sz w:val="24"/>
                <w:szCs w:val="24"/>
              </w:rPr>
              <w:lastRenderedPageBreak/>
              <w:t>Pozosta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łe informacje zamieszczone są w Karcie   Charakterystyki Produktu, który stanowi integralną część egzemplarza instrukcji stosowania. Przed rozpoczęciem pracy należy dokładnie przeczytać dane o zasadach bezpieczeństwa. W przypadku jakichkolwiek pytań prosimy o kontakt. </w:t>
            </w:r>
          </w:p>
          <w:p w:rsidR="003D393B" w:rsidRDefault="003D393B" w:rsidP="003D393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D393B" w:rsidRDefault="003D393B" w:rsidP="003D393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TEL: 512833400</w:t>
            </w:r>
          </w:p>
          <w:p w:rsidR="003D393B" w:rsidRDefault="003D393B" w:rsidP="003D393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R- Stone Rosłaniec Piotr</w:t>
            </w:r>
          </w:p>
          <w:p w:rsidR="003D393B" w:rsidRDefault="003D393B" w:rsidP="003D393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26-640 Skaryszew</w:t>
            </w:r>
          </w:p>
          <w:p w:rsidR="003D393B" w:rsidRPr="003D393B" w:rsidRDefault="003D393B" w:rsidP="003D393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Ul. Cicha 15</w:t>
            </w:r>
          </w:p>
          <w:p w:rsidR="0061590C" w:rsidRDefault="0061590C" w:rsidP="0061590C">
            <w:pPr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4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7D87" w:rsidRDefault="007B7D87">
            <w:pPr>
              <w:rPr>
                <w:rFonts w:ascii="Arial" w:hAnsi="Arial" w:cs="Arial"/>
                <w:color w:val="00000A"/>
                <w:sz w:val="14"/>
                <w:szCs w:val="14"/>
              </w:rPr>
            </w:pPr>
          </w:p>
        </w:tc>
      </w:tr>
    </w:tbl>
    <w:p w:rsidR="006E4F1E" w:rsidRDefault="006E4F1E"/>
    <w:sectPr w:rsidR="006E4F1E" w:rsidSect="000F0E38">
      <w:headerReference w:type="default" r:id="rId9"/>
      <w:pgSz w:w="11906" w:h="16838"/>
      <w:pgMar w:top="1956" w:right="1417" w:bottom="1417" w:left="1417" w:header="1417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DF8" w:rsidRDefault="00FA7DF8">
      <w:r>
        <w:separator/>
      </w:r>
    </w:p>
  </w:endnote>
  <w:endnote w:type="continuationSeparator" w:id="1">
    <w:p w:rsidR="00FA7DF8" w:rsidRDefault="00FA7D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DF8" w:rsidRDefault="00FA7DF8">
      <w:r>
        <w:separator/>
      </w:r>
    </w:p>
  </w:footnote>
  <w:footnote w:type="continuationSeparator" w:id="1">
    <w:p w:rsidR="00FA7DF8" w:rsidRDefault="00FA7D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DE8" w:rsidRDefault="00943DE8" w:rsidP="00943DE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1043305</wp:posOffset>
          </wp:positionH>
          <wp:positionV relativeFrom="margin">
            <wp:posOffset>-1588770</wp:posOffset>
          </wp:positionV>
          <wp:extent cx="3686175" cy="1635760"/>
          <wp:effectExtent l="0" t="0" r="0" b="0"/>
          <wp:wrapSquare wrapText="bothSides"/>
          <wp:docPr id="2" name="Picture 2" descr="logors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rst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6175" cy="163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DE8" w:rsidRDefault="00943DE8" w:rsidP="00943DE8">
    <w:pPr>
      <w:pStyle w:val="Nagwek"/>
    </w:pPr>
  </w:p>
  <w:p w:rsidR="00943DE8" w:rsidRDefault="00943DE8" w:rsidP="00943DE8">
    <w:pPr>
      <w:pStyle w:val="Nagwek"/>
    </w:pPr>
  </w:p>
  <w:p w:rsidR="006E4F1E" w:rsidRPr="00943DE8" w:rsidRDefault="006E4F1E" w:rsidP="00943DE8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ib5ttY2mm0SlZU3tx1LKFhx6900=" w:salt="AP4uAFP35ChPvIUINTTgyQ==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6E4F1E"/>
    <w:rsid w:val="00021E1A"/>
    <w:rsid w:val="000B254C"/>
    <w:rsid w:val="000F0E38"/>
    <w:rsid w:val="001E4BF3"/>
    <w:rsid w:val="002D5A4C"/>
    <w:rsid w:val="002F1339"/>
    <w:rsid w:val="003D393B"/>
    <w:rsid w:val="005F6FD8"/>
    <w:rsid w:val="0061590C"/>
    <w:rsid w:val="006230CC"/>
    <w:rsid w:val="00661270"/>
    <w:rsid w:val="006E4F1E"/>
    <w:rsid w:val="007B50E7"/>
    <w:rsid w:val="007B7D87"/>
    <w:rsid w:val="008B3C83"/>
    <w:rsid w:val="008E47F3"/>
    <w:rsid w:val="008F231E"/>
    <w:rsid w:val="00901FDF"/>
    <w:rsid w:val="00905632"/>
    <w:rsid w:val="00943DE8"/>
    <w:rsid w:val="00A31F46"/>
    <w:rsid w:val="00B1549F"/>
    <w:rsid w:val="00B37E52"/>
    <w:rsid w:val="00DF0EFF"/>
    <w:rsid w:val="00E15901"/>
    <w:rsid w:val="00E962FE"/>
    <w:rsid w:val="00EA387D"/>
    <w:rsid w:val="00FA7DF8"/>
    <w:rsid w:val="00FC0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Times New Roman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0E38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retekstu"/>
    <w:rsid w:val="000F0E38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retekstu">
    <w:name w:val="Treść tekstu"/>
    <w:basedOn w:val="Normalny"/>
    <w:rsid w:val="000F0E38"/>
    <w:pPr>
      <w:spacing w:after="140" w:line="288" w:lineRule="auto"/>
    </w:pPr>
  </w:style>
  <w:style w:type="paragraph" w:customStyle="1" w:styleId="Lista1">
    <w:name w:val="Lista1"/>
    <w:basedOn w:val="Tretekstu"/>
    <w:rsid w:val="000F0E38"/>
    <w:rPr>
      <w:rFonts w:cs="FreeSans"/>
    </w:rPr>
  </w:style>
  <w:style w:type="paragraph" w:customStyle="1" w:styleId="Podpis1">
    <w:name w:val="Podpis1"/>
    <w:basedOn w:val="Normalny"/>
    <w:rsid w:val="000F0E38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ks">
    <w:name w:val="Indeks"/>
    <w:basedOn w:val="Normalny"/>
    <w:rsid w:val="000F0E38"/>
    <w:pPr>
      <w:suppressLineNumbers/>
    </w:pPr>
    <w:rPr>
      <w:rFonts w:cs="FreeSans"/>
    </w:rPr>
  </w:style>
  <w:style w:type="paragraph" w:customStyle="1" w:styleId="Gwka">
    <w:name w:val="Główka"/>
    <w:basedOn w:val="Normalny"/>
    <w:rsid w:val="000F0E38"/>
  </w:style>
  <w:style w:type="table" w:styleId="Tabela-Siatka">
    <w:name w:val="Table Grid"/>
    <w:basedOn w:val="Standardowy"/>
    <w:uiPriority w:val="39"/>
    <w:rsid w:val="00624F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7E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7E52"/>
  </w:style>
  <w:style w:type="paragraph" w:styleId="Stopka">
    <w:name w:val="footer"/>
    <w:basedOn w:val="Normalny"/>
    <w:link w:val="StopkaZnak"/>
    <w:uiPriority w:val="99"/>
    <w:unhideWhenUsed/>
    <w:rsid w:val="00B37E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7E52"/>
  </w:style>
  <w:style w:type="paragraph" w:styleId="Tekstdymka">
    <w:name w:val="Balloon Text"/>
    <w:basedOn w:val="Normalny"/>
    <w:link w:val="TekstdymkaZnak"/>
    <w:uiPriority w:val="99"/>
    <w:semiHidden/>
    <w:unhideWhenUsed/>
    <w:rsid w:val="006230C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30CC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43DE8"/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3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7D82A-1B36-4554-BD77-584A1759E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1060</Words>
  <Characters>6361</Characters>
  <Application>Microsoft Office Word</Application>
  <DocSecurity>8</DocSecurity>
  <Lines>53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fatix</dc:creator>
  <cp:lastModifiedBy>R-Stone</cp:lastModifiedBy>
  <cp:revision>14</cp:revision>
  <cp:lastPrinted>2015-05-28T22:12:00Z</cp:lastPrinted>
  <dcterms:created xsi:type="dcterms:W3CDTF">2015-04-20T19:21:00Z</dcterms:created>
  <dcterms:modified xsi:type="dcterms:W3CDTF">2016-02-02T20:01:00Z</dcterms:modified>
  <dc:language>pl-PL</dc:language>
</cp:coreProperties>
</file>